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Leukocytosis (WBC&gt;11) (odds ratio per 1-SD 1.36 (95% CI 0.98 to 1.87), false discovery rate q 0.127)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0.98 to 1.87)</w:t>
            </w:r>
          </w:p>
        </w:tc>
        <w:tc>
          <w:tcPr>
            <w:tcW w:type="dxa" w:w="1234"/>
          </w:tcPr>
          <w:p>
            <w:r>
              <w:t>0.098</w:t>
            </w:r>
          </w:p>
        </w:tc>
        <w:tc>
          <w:tcPr>
            <w:tcW w:type="dxa" w:w="1234"/>
          </w:tcPr>
          <w:p>
            <w:r>
              <w:t>0.127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263.3</w:t>
            </w:r>
          </w:p>
        </w:tc>
        <w:tc>
          <w:tcPr>
            <w:tcW w:type="dxa" w:w="2160"/>
          </w:tcPr>
          <w:p>
            <w:r>
              <w:t>262.1</w:t>
            </w:r>
          </w:p>
        </w:tc>
        <w:tc>
          <w:tcPr>
            <w:tcW w:type="dxa" w:w="2160"/>
          </w:tcPr>
          <w:p>
            <w:r>
              <w:t>285.5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