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Current smoking and Leukocytosis (WBC&gt;11)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Current smoking was positively associated with Leukocytosis (WBC&gt;11) (odds ratio 3.92 (95% CI 3.26 to 4.70), false discovery rate q &lt;0.001) among 25491 adults aged 20 years or older (a weighted Leukocytosis (WBC&gt;11) prevalence of 4.9 percent, survey-weighted). Confounders: Age, years, Male sex,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 (smoking raises the white-cell count). Adjustment for this exposure: Age, years, Male sex,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Current smoking</w:t>
            </w:r>
          </w:p>
        </w:tc>
        <w:tc>
          <w:tcPr>
            <w:tcW w:type="dxa" w:w="1234"/>
          </w:tcPr>
          <w:p>
            <w:r>
              <w:t>Leukocytosis (WBC&gt;11)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3.92 (95% CI 3.26 to 4.70)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25491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Leukocytosis (WBC&gt;11)</w:t>
            </w:r>
          </w:p>
        </w:tc>
        <w:tc>
          <w:tcPr>
            <w:tcW w:type="dxa" w:w="2160"/>
          </w:tcPr>
          <w:p>
            <w:r>
              <w:t>Leukocytosis (WBC&gt;11)</w:t>
            </w:r>
          </w:p>
        </w:tc>
      </w:tr>
      <w:tr>
        <w:tc>
          <w:tcPr>
            <w:tcW w:type="dxa" w:w="2160"/>
          </w:tcPr>
          <w:p>
            <w:r>
              <w:t>Current smoking (exposure)</w:t>
            </w:r>
          </w:p>
        </w:tc>
        <w:tc>
          <w:tcPr>
            <w:tcW w:type="dxa" w:w="2160"/>
          </w:tcPr>
          <w:p>
            <w:r>
              <w:t>19.4%</w:t>
            </w:r>
          </w:p>
        </w:tc>
        <w:tc>
          <w:tcPr>
            <w:tcW w:type="dxa" w:w="2160"/>
          </w:tcPr>
          <w:p>
            <w:r>
              <w:t>18.1%</w:t>
            </w:r>
          </w:p>
        </w:tc>
        <w:tc>
          <w:tcPr>
            <w:tcW w:type="dxa" w:w="2160"/>
          </w:tcPr>
          <w:p>
            <w:r>
              <w:t>43.4%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47.6</w:t>
            </w:r>
          </w:p>
        </w:tc>
        <w:tc>
          <w:tcPr>
            <w:tcW w:type="dxa" w:w="2160"/>
          </w:tcPr>
          <w:p>
            <w:r>
              <w:t>47.8</w:t>
            </w:r>
          </w:p>
        </w:tc>
        <w:tc>
          <w:tcPr>
            <w:tcW w:type="dxa" w:w="2160"/>
          </w:tcPr>
          <w:p>
            <w:r>
              <w:t>43.8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47.8%</w:t>
            </w:r>
          </w:p>
        </w:tc>
        <w:tc>
          <w:tcPr>
            <w:tcW w:type="dxa" w:w="2160"/>
          </w:tcPr>
          <w:p>
            <w:r>
              <w:t>48.2%</w:t>
            </w:r>
          </w:p>
        </w:tc>
        <w:tc>
          <w:tcPr>
            <w:tcW w:type="dxa" w:w="2160"/>
          </w:tcPr>
          <w:p>
            <w:r>
              <w:t>40.4%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43.2%</w:t>
            </w:r>
          </w:p>
        </w:tc>
        <w:tc>
          <w:tcPr>
            <w:tcW w:type="dxa" w:w="2160"/>
          </w:tcPr>
          <w:p>
            <w:r>
              <w:t>42.2%</w:t>
            </w:r>
          </w:p>
        </w:tc>
        <w:tc>
          <w:tcPr>
            <w:tcW w:type="dxa" w:w="2160"/>
          </w:tcPr>
          <w:p>
            <w:r>
              <w:t>61.7%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80.8%</w:t>
            </w:r>
          </w:p>
        </w:tc>
        <w:tc>
          <w:tcPr>
            <w:tcW w:type="dxa" w:w="2160"/>
          </w:tcPr>
          <w:p>
            <w:r>
              <w:t>80.7%</w:t>
            </w:r>
          </w:p>
        </w:tc>
        <w:tc>
          <w:tcPr>
            <w:tcW w:type="dxa" w:w="2160"/>
          </w:tcPr>
          <w:p>
            <w:r>
              <w:t>82.1%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28.9</w:t>
            </w:r>
          </w:p>
        </w:tc>
        <w:tc>
          <w:tcPr>
            <w:tcW w:type="dxa" w:w="2160"/>
          </w:tcPr>
          <w:p>
            <w:r>
              <w:t>32.3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