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positively associated with Leukocytosis (WBC&gt;11) (odds ratio 1.13 (95% CI 0.93 to 1.38), false discovery rate q 0.263) among 25491 adults aged 20 years or older (a weighted Leukocytosis (WBC&gt;11) prevalence of 4.9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1.13 (95% CI 0.93 to 1.38)</w:t>
            </w:r>
          </w:p>
        </w:tc>
        <w:tc>
          <w:tcPr>
            <w:tcW w:type="dxa" w:w="1234"/>
          </w:tcPr>
          <w:p>
            <w:r>
              <w:t>0.216</w:t>
            </w:r>
          </w:p>
        </w:tc>
        <w:tc>
          <w:tcPr>
            <w:tcW w:type="dxa" w:w="1234"/>
          </w:tcPr>
          <w:p>
            <w:r>
              <w:t>0.263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