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Height, cm and Leukocytosis (WBC&gt;11)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Height, cm was inversely associated with Leukocytosis (WBC&gt;11) (odds ratio per 1-SD 0.88 (95% CI 0.79 to 0.98), false discovery rate q 0.025) among 25491 adults aged 20 years or older (a weighted Leukocytosis (WBC&gt;11) prevalence of 4.9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0.88 (95% CI 0.79 to 0.98)</w:t>
            </w:r>
          </w:p>
        </w:tc>
        <w:tc>
          <w:tcPr>
            <w:tcW w:type="dxa" w:w="1234"/>
          </w:tcPr>
          <w:p>
            <w:r>
              <w:t>0.017</w:t>
            </w:r>
          </w:p>
        </w:tc>
        <w:tc>
          <w:tcPr>
            <w:tcW w:type="dxa" w:w="1234"/>
          </w:tcPr>
          <w:p>
            <w:r>
              <w:t>0.025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Height, cm (exposure)</w:t>
            </w:r>
          </w:p>
        </w:tc>
        <w:tc>
          <w:tcPr>
            <w:tcW w:type="dxa" w:w="2160"/>
          </w:tcPr>
          <w:p>
            <w:r>
              <w:t>168.4</w:t>
            </w:r>
          </w:p>
        </w:tc>
        <w:tc>
          <w:tcPr>
            <w:tcW w:type="dxa" w:w="2160"/>
          </w:tcPr>
          <w:p>
            <w:r>
              <w:t>168.5</w:t>
            </w:r>
          </w:p>
        </w:tc>
        <w:tc>
          <w:tcPr>
            <w:tcW w:type="dxa" w:w="2160"/>
          </w:tcPr>
          <w:p>
            <w:r>
              <w:t>167.2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40.4%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42.2%</w:t>
            </w:r>
          </w:p>
        </w:tc>
        <w:tc>
          <w:tcPr>
            <w:tcW w:type="dxa" w:w="2160"/>
          </w:tcPr>
          <w:p>
            <w:r>
              <w:t>61.7%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32.3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