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Leukocytosis (WBC&gt;11)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Leukocytosis (WBC&gt;11) (odds ratio per 1-SD 1.13 (95% CI 1.00 to 1.27), false discovery rate q 0.060) among 25491 adults aged 20 years or older (a weighted Leukocytosis (WBC&gt;11) prevalence of 4.9 percent, 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BMI, smoking and alcohol (smoking raises the white-cell count).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Leukocytosis (WBC&gt;11)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1.13 (95% CI 1.00 to 1.27)</w:t>
            </w:r>
          </w:p>
        </w:tc>
        <w:tc>
          <w:tcPr>
            <w:tcW w:type="dxa" w:w="1234"/>
          </w:tcPr>
          <w:p>
            <w:r>
              <w:t>0.043</w:t>
            </w:r>
          </w:p>
        </w:tc>
        <w:tc>
          <w:tcPr>
            <w:tcW w:type="dxa" w:w="1234"/>
          </w:tcPr>
          <w:p>
            <w:r>
              <w:t>0.060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Leukocytosis (WBC&gt;11)</w:t>
            </w:r>
          </w:p>
        </w:tc>
        <w:tc>
          <w:tcPr>
            <w:tcW w:type="dxa" w:w="2160"/>
          </w:tcPr>
          <w:p>
            <w:r>
              <w:t>Leukocytosis (WBC&gt;11)</w:t>
            </w:r>
          </w:p>
        </w:tc>
      </w:tr>
      <w:tr>
        <w:tc>
          <w:tcPr>
            <w:tcW w:type="dxa" w:w="2160"/>
          </w:tcPr>
          <w:p>
            <w:r>
              <w:t>Hemoglobin, g/dL (exposure)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  <w:tc>
          <w:tcPr>
            <w:tcW w:type="dxa" w:w="2160"/>
          </w:tcPr>
          <w:p>
            <w:r>
              <w:t>14.2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47.6</w:t>
            </w:r>
          </w:p>
        </w:tc>
        <w:tc>
          <w:tcPr>
            <w:tcW w:type="dxa" w:w="2160"/>
          </w:tcPr>
          <w:p>
            <w:r>
              <w:t>47.8</w:t>
            </w:r>
          </w:p>
        </w:tc>
        <w:tc>
          <w:tcPr>
            <w:tcW w:type="dxa" w:w="2160"/>
          </w:tcPr>
          <w:p>
            <w:r>
              <w:t>43.8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47.8%</w:t>
            </w:r>
          </w:p>
        </w:tc>
        <w:tc>
          <w:tcPr>
            <w:tcW w:type="dxa" w:w="2160"/>
          </w:tcPr>
          <w:p>
            <w:r>
              <w:t>48.2%</w:t>
            </w:r>
          </w:p>
        </w:tc>
        <w:tc>
          <w:tcPr>
            <w:tcW w:type="dxa" w:w="2160"/>
          </w:tcPr>
          <w:p>
            <w:r>
              <w:t>40.4%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42.2%</w:t>
            </w:r>
          </w:p>
        </w:tc>
        <w:tc>
          <w:tcPr>
            <w:tcW w:type="dxa" w:w="2160"/>
          </w:tcPr>
          <w:p>
            <w:r>
              <w:t>61.7%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80.8%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82.1%</w:t>
            </w:r>
          </w:p>
        </w:tc>
      </w:tr>
      <w:tr>
        <w:tc>
          <w:tcPr>
            <w:tcW w:type="dxa" w:w="2160"/>
          </w:tcPr>
          <w:p>
            <w:r>
              <w:t>Body mass index, kg/m2</w:t>
            </w:r>
          </w:p>
        </w:tc>
        <w:tc>
          <w:tcPr>
            <w:tcW w:type="dxa" w:w="2160"/>
          </w:tcPr>
          <w:p>
            <w:r>
              <w:t>29.1</w:t>
            </w:r>
          </w:p>
        </w:tc>
        <w:tc>
          <w:tcPr>
            <w:tcW w:type="dxa" w:w="2160"/>
          </w:tcPr>
          <w:p>
            <w:r>
              <w:t>28.9</w:t>
            </w:r>
          </w:p>
        </w:tc>
        <w:tc>
          <w:tcPr>
            <w:tcW w:type="dxa" w:w="2160"/>
          </w:tcPr>
          <w:p>
            <w:r>
              <w:t>32.3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