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Leukocytosis (WBC&gt;11) (odds ratio 1.50 (95% CI 0.86 to 2.61), false discovery rate q 0.234)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0.86 to 2.61)</w:t>
            </w:r>
          </w:p>
        </w:tc>
        <w:tc>
          <w:tcPr>
            <w:tcW w:type="dxa" w:w="1234"/>
          </w:tcPr>
          <w:p>
            <w:r>
              <w:t>0.190</w:t>
            </w:r>
          </w:p>
        </w:tc>
        <w:tc>
          <w:tcPr>
            <w:tcW w:type="dxa" w:w="1234"/>
          </w:tcPr>
          <w:p>
            <w:r>
              <w:t>0.234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  <w:tc>
          <w:tcPr>
            <w:tcW w:type="dxa" w:w="2160"/>
          </w:tcPr>
          <w:p>
            <w:r>
              <w:t>55.8%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