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non-HDL cholesterol (&gt;=190) and Leukocytosis (WBC&gt;11)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High non-HDL cholesterol (&gt;=190) was positively associated with Leukocytosis (WBC&gt;11) (odds ratio 1.51 (95% CI 1.22 to 1.87), false discovery rate q &lt;0.001) among 25491 adults aged 20 years or older (a weighted Leukocytosis (WBC&gt;11) prevalence of 4.9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 (smoking raises the white-cell count).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1.51 (95% CI 1.22 to 1.87)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Leukocytosis (WBC&gt;11)</w:t>
            </w:r>
          </w:p>
        </w:tc>
        <w:tc>
          <w:tcPr>
            <w:tcW w:type="dxa" w:w="2160"/>
          </w:tcPr>
          <w:p>
            <w:r>
              <w:t>Leukocytosis (WBC&gt;11)</w:t>
            </w:r>
          </w:p>
        </w:tc>
      </w:tr>
      <w:tr>
        <w:tc>
          <w:tcPr>
            <w:tcW w:type="dxa" w:w="2160"/>
          </w:tcPr>
          <w:p>
            <w:r>
              <w:t>High non-HDL cholesterol (&gt;=190) (exposure)</w:t>
            </w:r>
          </w:p>
        </w:tc>
        <w:tc>
          <w:tcPr>
            <w:tcW w:type="dxa" w:w="2160"/>
          </w:tcPr>
          <w:p>
            <w:r>
              <w:t>11.7%</w:t>
            </w:r>
          </w:p>
        </w:tc>
        <w:tc>
          <w:tcPr>
            <w:tcW w:type="dxa" w:w="2160"/>
          </w:tcPr>
          <w:p>
            <w:r>
              <w:t>11.4%</w:t>
            </w:r>
          </w:p>
        </w:tc>
        <w:tc>
          <w:tcPr>
            <w:tcW w:type="dxa" w:w="2160"/>
          </w:tcPr>
          <w:p>
            <w:r>
              <w:t>16.4%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43.8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40.4%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42.2%</w:t>
            </w:r>
          </w:p>
        </w:tc>
        <w:tc>
          <w:tcPr>
            <w:tcW w:type="dxa" w:w="2160"/>
          </w:tcPr>
          <w:p>
            <w:r>
              <w:t>61.7%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82.1%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32.3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