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Leukocytosis (WBC&gt;11) (odds ratio 2.63 (95% CI 1.88 to 3.67), false discovery rate q &lt;0.001)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2.63 (95% CI 1.88 to 3.67)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Metabolic syndrome (exposure)</w:t>
            </w:r>
          </w:p>
        </w:tc>
        <w:tc>
          <w:tcPr>
            <w:tcW w:type="dxa" w:w="2160"/>
          </w:tcPr>
          <w:p>
            <w:r>
              <w:t>37.4%</w:t>
            </w:r>
          </w:p>
        </w:tc>
        <w:tc>
          <w:tcPr>
            <w:tcW w:type="dxa" w:w="2160"/>
          </w:tcPr>
          <w:p>
            <w:r>
              <w:t>36.6%</w:t>
            </w:r>
          </w:p>
        </w:tc>
        <w:tc>
          <w:tcPr>
            <w:tcW w:type="dxa" w:w="2160"/>
          </w:tcPr>
          <w:p>
            <w:r>
              <w:t>62.5%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