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positively associated with Leukocytosis (WBC&gt;11) (odds ratio 2.14 (95% CI 1.85 to 2.47), false discovery rate q &lt;0.001) among 25491 adults aged 20 years or older (a weighted Leukocytosis (WBC&gt;11) prevalence of 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2.14 (95% CI 1.85 to 2.47)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Obesity (KSSO &gt;=25 / WHO &gt;=30, country-specific) (exposure)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  <w:tc>
          <w:tcPr>
            <w:tcW w:type="dxa" w:w="2160"/>
          </w:tcPr>
          <w:p>
            <w:r>
              <w:t>36.0%</w:t>
            </w:r>
          </w:p>
        </w:tc>
        <w:tc>
          <w:tcPr>
            <w:tcW w:type="dxa" w:w="2160"/>
          </w:tcPr>
          <w:p>
            <w:r>
              <w:t>53.2%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