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creatinine, mg/dL and Leukocytosis (WBC&gt;11)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Serum creatinine, mg/dL was positively associated with Leukocytosis (WBC&gt;11) (odds ratio per 1-SD 1.04 (95% CI 0.98 to 1.10), false discovery rate q 0.245) among 25491 adults aged 20 years or older (a weighted Leukocytosis (WBC&gt;11) prevalence of 4.9 percent, 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 (smoking raises the white-cell count).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creatinine, mg/dL</w:t>
            </w:r>
          </w:p>
        </w:tc>
        <w:tc>
          <w:tcPr>
            <w:tcW w:type="dxa" w:w="1234"/>
          </w:tcPr>
          <w:p>
            <w:r>
              <w:t>Leukocytosis (WBC&gt;11)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1.04 (95% CI 0.98 to 1.10)</w:t>
            </w:r>
          </w:p>
        </w:tc>
        <w:tc>
          <w:tcPr>
            <w:tcW w:type="dxa" w:w="1234"/>
          </w:tcPr>
          <w:p>
            <w:r>
              <w:t>0.200</w:t>
            </w:r>
          </w:p>
        </w:tc>
        <w:tc>
          <w:tcPr>
            <w:tcW w:type="dxa" w:w="1234"/>
          </w:tcPr>
          <w:p>
            <w:r>
              <w:t>0.245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Leukocytosis (WBC&gt;11)</w:t>
            </w:r>
          </w:p>
        </w:tc>
        <w:tc>
          <w:tcPr>
            <w:tcW w:type="dxa" w:w="2160"/>
          </w:tcPr>
          <w:p>
            <w:r>
              <w:t>Leukocytosis (WBC&gt;11)</w:t>
            </w:r>
          </w:p>
        </w:tc>
      </w:tr>
      <w:tr>
        <w:tc>
          <w:tcPr>
            <w:tcW w:type="dxa" w:w="2160"/>
          </w:tcPr>
          <w:p>
            <w:r>
              <w:t>Serum creatinine, mg/dL (exposure)</w:t>
            </w:r>
          </w:p>
        </w:tc>
        <w:tc>
          <w:tcPr>
            <w:tcW w:type="dxa" w:w="2160"/>
          </w:tcPr>
          <w:p>
            <w:r>
              <w:t>0.9</w:t>
            </w:r>
          </w:p>
        </w:tc>
        <w:tc>
          <w:tcPr>
            <w:tcW w:type="dxa" w:w="2160"/>
          </w:tcPr>
          <w:p>
            <w:r>
              <w:t>0.9</w:t>
            </w:r>
          </w:p>
        </w:tc>
        <w:tc>
          <w:tcPr>
            <w:tcW w:type="dxa" w:w="2160"/>
          </w:tcPr>
          <w:p>
            <w:r>
              <w:t>0.9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47.8</w:t>
            </w:r>
          </w:p>
        </w:tc>
        <w:tc>
          <w:tcPr>
            <w:tcW w:type="dxa" w:w="2160"/>
          </w:tcPr>
          <w:p>
            <w:r>
              <w:t>43.8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47.8%</w:t>
            </w:r>
          </w:p>
        </w:tc>
        <w:tc>
          <w:tcPr>
            <w:tcW w:type="dxa" w:w="2160"/>
          </w:tcPr>
          <w:p>
            <w:r>
              <w:t>48.2%</w:t>
            </w:r>
          </w:p>
        </w:tc>
        <w:tc>
          <w:tcPr>
            <w:tcW w:type="dxa" w:w="2160"/>
          </w:tcPr>
          <w:p>
            <w:r>
              <w:t>40.4%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42.2%</w:t>
            </w:r>
          </w:p>
        </w:tc>
        <w:tc>
          <w:tcPr>
            <w:tcW w:type="dxa" w:w="2160"/>
          </w:tcPr>
          <w:p>
            <w:r>
              <w:t>61.7%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82.1%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28.9</w:t>
            </w:r>
          </w:p>
        </w:tc>
        <w:tc>
          <w:tcPr>
            <w:tcW w:type="dxa" w:w="2160"/>
          </w:tcPr>
          <w:p>
            <w:r>
              <w:t>32.3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