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positively associated with Leukocytosis (WBC&gt;11) (odds ratio per 1-SD 1.09 (95% CI 1.00 to 1.18), false discovery rate q 0.060)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1.09 (95% CI 1.00 to 1.18)</w:t>
            </w:r>
          </w:p>
        </w:tc>
        <w:tc>
          <w:tcPr>
            <w:tcW w:type="dxa" w:w="1234"/>
          </w:tcPr>
          <w:p>
            <w:r>
              <w:t>0.043</w:t>
            </w:r>
          </w:p>
        </w:tc>
        <w:tc>
          <w:tcPr>
            <w:tcW w:type="dxa" w:w="1234"/>
          </w:tcPr>
          <w:p>
            <w:r>
              <w:t>0.060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193.7</w:t>
            </w:r>
          </w:p>
        </w:tc>
        <w:tc>
          <w:tcPr>
            <w:tcW w:type="dxa" w:w="2160"/>
          </w:tcPr>
          <w:p>
            <w:r>
              <w:t>193.6</w:t>
            </w:r>
          </w:p>
        </w:tc>
        <w:tc>
          <w:tcPr>
            <w:tcW w:type="dxa" w:w="2160"/>
          </w:tcPr>
          <w:p>
            <w:r>
              <w:t>195.7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