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Leukocytosis (WBC&gt;11)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Triglycerides, mg/dL was positively associated with Leukocytosis (WBC&gt;11) (odds ratio per 1-SD 1.17 (95% CI 1.09 to 1.26), false discovery rate q &lt;0.001) among 25491 adults aged 20 years or older (a weighted Leukocytosis (WBC&gt;11) prevalence of 4.9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1.17 (95% CI 1.09 to 1.26)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Triglycerides, mg/dL (exposure)</w:t>
            </w:r>
          </w:p>
        </w:tc>
        <w:tc>
          <w:tcPr>
            <w:tcW w:type="dxa" w:w="2160"/>
          </w:tcPr>
          <w:p>
            <w:r>
              <w:t>124.0</w:t>
            </w:r>
          </w:p>
        </w:tc>
        <w:tc>
          <w:tcPr>
            <w:tcW w:type="dxa" w:w="2160"/>
          </w:tcPr>
          <w:p>
            <w:r>
              <w:t>122.9</w:t>
            </w:r>
          </w:p>
        </w:tc>
        <w:tc>
          <w:tcPr>
            <w:tcW w:type="dxa" w:w="2160"/>
          </w:tcPr>
          <w:p>
            <w:r>
              <w:t>155.5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40.4%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  <w:tc>
          <w:tcPr>
            <w:tcW w:type="dxa" w:w="2160"/>
          </w:tcPr>
          <w:p>
            <w:r>
              <w:t>61.7%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32.3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