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Diabetes mellitus and Low HDL cholesterol</w:t>
      </w:r>
    </w:p>
    <w:p>
      <w:r>
        <w:t>NHANES ·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National Health and Nutrition Examination Survey, Diabetes mellitus was positively associated with Low HDL cholesterol (odds ratio 1.86 (95% CI 1.63 to 2.12), false discovery rate q &lt;0.001) among 25076 adults aged 20 years or older (a weighted Low HDL cholesterol prevalence of 29.2 percent, survey-weighted). Confounders: Age, years, Male sex, Body mass index, kg/m2,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BMI, smoking and alcohol. Adjustment for this exposure: Age, years, Male sex, Body mass index, kg/m2,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Diabetes mellitus</w:t>
            </w:r>
          </w:p>
        </w:tc>
        <w:tc>
          <w:tcPr>
            <w:tcW w:type="dxa" w:w="1234"/>
          </w:tcPr>
          <w:p>
            <w:r>
              <w:t>Low HDL cholesterol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1.86 (95% CI 1.63 to 2.12)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25076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Low HDL cholesterol</w:t>
            </w:r>
          </w:p>
        </w:tc>
        <w:tc>
          <w:tcPr>
            <w:tcW w:type="dxa" w:w="2160"/>
          </w:tcPr>
          <w:p>
            <w:r>
              <w:t>Low HDL cholesterol</w:t>
            </w:r>
          </w:p>
        </w:tc>
      </w:tr>
      <w:tr>
        <w:tc>
          <w:tcPr>
            <w:tcW w:type="dxa" w:w="2160"/>
          </w:tcPr>
          <w:p>
            <w:r>
              <w:t>Diabetes mellitus (exposure)</w:t>
            </w:r>
          </w:p>
        </w:tc>
        <w:tc>
          <w:tcPr>
            <w:tcW w:type="dxa" w:w="2160"/>
          </w:tcPr>
          <w:p>
            <w:r>
              <w:t>12.2%</w:t>
            </w:r>
          </w:p>
        </w:tc>
        <w:tc>
          <w:tcPr>
            <w:tcW w:type="dxa" w:w="2160"/>
          </w:tcPr>
          <w:p>
            <w:r>
              <w:t>9.4%</w:t>
            </w:r>
          </w:p>
        </w:tc>
        <w:tc>
          <w:tcPr>
            <w:tcW w:type="dxa" w:w="2160"/>
          </w:tcPr>
          <w:p>
            <w:r>
              <w:t>18.9%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47.6</w:t>
            </w:r>
          </w:p>
        </w:tc>
        <w:tc>
          <w:tcPr>
            <w:tcW w:type="dxa" w:w="2160"/>
          </w:tcPr>
          <w:p>
            <w:r>
              <w:t>48.1</w:t>
            </w:r>
          </w:p>
        </w:tc>
        <w:tc>
          <w:tcPr>
            <w:tcW w:type="dxa" w:w="2160"/>
          </w:tcPr>
          <w:p>
            <w:r>
              <w:t>46.3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48.1%</w:t>
            </w:r>
          </w:p>
        </w:tc>
        <w:tc>
          <w:tcPr>
            <w:tcW w:type="dxa" w:w="2160"/>
          </w:tcPr>
          <w:p>
            <w:r>
              <w:t>49.3%</w:t>
            </w:r>
          </w:p>
        </w:tc>
        <w:tc>
          <w:tcPr>
            <w:tcW w:type="dxa" w:w="2160"/>
          </w:tcPr>
          <w:p>
            <w:r>
              <w:t>45.0%</w:t>
            </w:r>
          </w:p>
        </w:tc>
      </w:tr>
      <w:tr>
        <w:tc>
          <w:tcPr>
            <w:tcW w:type="dxa" w:w="2160"/>
          </w:tcPr>
          <w:p>
            <w:r>
              <w:t>Body mass index, kg/m2</w:t>
            </w:r>
          </w:p>
        </w:tc>
        <w:tc>
          <w:tcPr>
            <w:tcW w:type="dxa" w:w="2160"/>
          </w:tcPr>
          <w:p>
            <w:r>
              <w:t>29.1</w:t>
            </w:r>
          </w:p>
        </w:tc>
        <w:tc>
          <w:tcPr>
            <w:tcW w:type="dxa" w:w="2160"/>
          </w:tcPr>
          <w:p>
            <w:r>
              <w:t>27.9</w:t>
            </w:r>
          </w:p>
        </w:tc>
        <w:tc>
          <w:tcPr>
            <w:tcW w:type="dxa" w:w="2160"/>
          </w:tcPr>
          <w:p>
            <w:r>
              <w:t>31.9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43.3%</w:t>
            </w:r>
          </w:p>
        </w:tc>
        <w:tc>
          <w:tcPr>
            <w:tcW w:type="dxa" w:w="2160"/>
          </w:tcPr>
          <w:p>
            <w:r>
              <w:t>42.3%</w:t>
            </w:r>
          </w:p>
        </w:tc>
        <w:tc>
          <w:tcPr>
            <w:tcW w:type="dxa" w:w="2160"/>
          </w:tcPr>
          <w:p>
            <w:r>
              <w:t>45.9%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80.7%</w:t>
            </w:r>
          </w:p>
        </w:tc>
        <w:tc>
          <w:tcPr>
            <w:tcW w:type="dxa" w:w="2160"/>
          </w:tcPr>
          <w:p>
            <w:r>
              <w:t>82.6%</w:t>
            </w:r>
          </w:p>
        </w:tc>
        <w:tc>
          <w:tcPr>
            <w:tcW w:type="dxa" w:w="2160"/>
          </w:tcPr>
          <w:p>
            <w:r>
              <w:t>76.1%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