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Low HDL cholesterol (odds ratio per 1-SD 0.99 (95% CI 0.94 to 1.04), false discovery rate q 0.680)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0.94 to 1.04)</w:t>
            </w:r>
          </w:p>
        </w:tc>
        <w:tc>
          <w:tcPr>
            <w:tcW w:type="dxa" w:w="1234"/>
          </w:tcPr>
          <w:p>
            <w:r>
              <w:t>0.632</w:t>
            </w:r>
          </w:p>
        </w:tc>
        <w:tc>
          <w:tcPr>
            <w:tcW w:type="dxa" w:w="1234"/>
          </w:tcPr>
          <w:p>
            <w:r>
              <w:t>0.680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71.4</w:t>
            </w:r>
          </w:p>
        </w:tc>
        <w:tc>
          <w:tcPr>
            <w:tcW w:type="dxa" w:w="2160"/>
          </w:tcPr>
          <w:p>
            <w:r>
              <w:t>71.9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