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Low HDL cholesterol (odds ratio 1.08 (95% CI 0.98 to 1.20), false discovery rate q 0.162)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0.98 to 1.20)</w:t>
            </w:r>
          </w:p>
        </w:tc>
        <w:tc>
          <w:tcPr>
            <w:tcW w:type="dxa" w:w="1234"/>
          </w:tcPr>
          <w:p>
            <w:r>
              <w:t>0.128</w:t>
            </w:r>
          </w:p>
        </w:tc>
        <w:tc>
          <w:tcPr>
            <w:tcW w:type="dxa" w:w="1234"/>
          </w:tcPr>
          <w:p>
            <w:r>
              <w:t>0.162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36.1%</w:t>
            </w:r>
          </w:p>
        </w:tc>
        <w:tc>
          <w:tcPr>
            <w:tcW w:type="dxa" w:w="2160"/>
          </w:tcPr>
          <w:p>
            <w:r>
              <w:t>34.9%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