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Low HDL cholesterol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Low HDL cholesterol (odds ratio per 1-SD 1.01 (95% CI 0.87 to 1.18), false discovery rate q 0.917) among 25076 adults aged 20 years or older (a weighted Low HDL cholesterol prevalence of 29.2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1.01 (95% CI 0.87 to 1.18)</w:t>
            </w:r>
          </w:p>
        </w:tc>
        <w:tc>
          <w:tcPr>
            <w:tcW w:type="dxa" w:w="1234"/>
          </w:tcPr>
          <w:p>
            <w:r>
              <w:t>0.901</w:t>
            </w:r>
          </w:p>
        </w:tc>
        <w:tc>
          <w:tcPr>
            <w:tcW w:type="dxa" w:w="1234"/>
          </w:tcPr>
          <w:p>
            <w:r>
              <w:t>0.917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Low HDL cholesterol</w:t>
            </w:r>
          </w:p>
        </w:tc>
        <w:tc>
          <w:tcPr>
            <w:tcW w:type="dxa" w:w="2160"/>
          </w:tcPr>
          <w:p>
            <w:r>
              <w:t>Low HDL cholesterol</w:t>
            </w:r>
          </w:p>
        </w:tc>
      </w:tr>
      <w:tr>
        <w:tc>
          <w:tcPr>
            <w:tcW w:type="dxa" w:w="2160"/>
          </w:tcPr>
          <w:p>
            <w:r>
              <w:t>Liver stiffness, kPa (exposure)</w:t>
            </w:r>
          </w:p>
        </w:tc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7.0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46.3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  <w:tc>
          <w:tcPr>
            <w:tcW w:type="dxa" w:w="2160"/>
          </w:tcPr>
          <w:p>
            <w:r>
              <w:t>45.0%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  <w:tc>
          <w:tcPr>
            <w:tcW w:type="dxa" w:w="2160"/>
          </w:tcPr>
          <w:p>
            <w:r>
              <w:t>31.9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42.3%</w:t>
            </w:r>
          </w:p>
        </w:tc>
        <w:tc>
          <w:tcPr>
            <w:tcW w:type="dxa" w:w="2160"/>
          </w:tcPr>
          <w:p>
            <w:r>
              <w:t>45.9%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82.6%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