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muscle mass (low ASMI, AWGS cut) and Low HDL cholesterol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Low muscle mass (low ASMI, AWGS cut) was inversely associated with Low HDL cholesterol (odds ratio 0.40 (95% CI 0.25 to 0.65), false discovery rate q &lt;0.001) among 25076 adults aged 20 years or older (a weighted Low HDL cholesterol prevalence of 29.2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0.40 (95% CI 0.25 to 0.65)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Low muscle mass (low ASMI, AWGS cut) (exposure)</w:t>
            </w:r>
          </w:p>
        </w:tc>
        <w:tc>
          <w:tcPr>
            <w:tcW w:type="dxa" w:w="2160"/>
          </w:tcPr>
          <w:p>
            <w:r>
              <w:t>3.1%</w:t>
            </w:r>
          </w:p>
        </w:tc>
        <w:tc>
          <w:tcPr>
            <w:tcW w:type="dxa" w:w="2160"/>
          </w:tcPr>
          <w:p>
            <w:r>
              <w:t>3.6%</w:t>
            </w:r>
          </w:p>
        </w:tc>
        <w:tc>
          <w:tcPr>
            <w:tcW w:type="dxa" w:w="2160"/>
          </w:tcPr>
          <w:p>
            <w:r>
              <w:t>1.6%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46.3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45.0%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  <w:tc>
          <w:tcPr>
            <w:tcW w:type="dxa" w:w="2160"/>
          </w:tcPr>
          <w:p>
            <w:r>
              <w:t>31.9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82.6%</w:t>
            </w:r>
          </w:p>
        </w:tc>
        <w:tc>
          <w:tcPr>
            <w:tcW w:type="dxa" w:w="2160"/>
          </w:tcPr>
          <w:p>
            <w:r>
              <w:t>76.1%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