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Low HDL cholesterol (odds ratio 1.07 (95% CI 0.98 to 1.18), false discovery rate q 0.179)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0.98 to 1.18)</w:t>
            </w:r>
          </w:p>
        </w:tc>
        <w:tc>
          <w:tcPr>
            <w:tcW w:type="dxa" w:w="1234"/>
          </w:tcPr>
          <w:p>
            <w:r>
              <w:t>0.143</w:t>
            </w:r>
          </w:p>
        </w:tc>
        <w:tc>
          <w:tcPr>
            <w:tcW w:type="dxa" w:w="1234"/>
          </w:tcPr>
          <w:p>
            <w:r>
              <w:t>0.179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31.8%</w:t>
            </w:r>
          </w:p>
        </w:tc>
        <w:tc>
          <w:tcPr>
            <w:tcW w:type="dxa" w:w="2160"/>
          </w:tcPr>
          <w:p>
            <w:r>
              <w:t>34.6%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