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uric acid, mg/dL and Low HDL cholesterol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Serum uric acid, mg/dL was positively associated with Low HDL cholesterol (odds ratio per 1-SD 1.22 (95% CI 1.17 to 1.28), false discovery rate q &lt;0.001) among 25076 adults aged 20 years or older (a weighted Low HDL cholesterol prevalence of 29.2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uric acid, mg/dL</w:t>
            </w:r>
          </w:p>
        </w:tc>
        <w:tc>
          <w:tcPr>
            <w:tcW w:type="dxa" w:w="1234"/>
          </w:tcPr>
          <w:p>
            <w:r>
              <w:t>Low HDL cholesterol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1.22 (95% CI 1.17 to 1.28)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Low HDL cholesterol</w:t>
            </w:r>
          </w:p>
        </w:tc>
        <w:tc>
          <w:tcPr>
            <w:tcW w:type="dxa" w:w="2160"/>
          </w:tcPr>
          <w:p>
            <w:r>
              <w:t>Low HDL cholesterol</w:t>
            </w:r>
          </w:p>
        </w:tc>
      </w:tr>
      <w:tr>
        <w:tc>
          <w:tcPr>
            <w:tcW w:type="dxa" w:w="2160"/>
          </w:tcPr>
          <w:p>
            <w:r>
              <w:t>Serum uric acid, mg/dL (exposure)</w:t>
            </w:r>
          </w:p>
        </w:tc>
        <w:tc>
          <w:tcPr>
            <w:tcW w:type="dxa" w:w="2160"/>
          </w:tcPr>
          <w:p>
            <w:r>
              <w:t>5.4</w:t>
            </w:r>
          </w:p>
        </w:tc>
        <w:tc>
          <w:tcPr>
            <w:tcW w:type="dxa" w:w="2160"/>
          </w:tcPr>
          <w:p>
            <w:r>
              <w:t>5.3</w:t>
            </w:r>
          </w:p>
        </w:tc>
        <w:tc>
          <w:tcPr>
            <w:tcW w:type="dxa" w:w="2160"/>
          </w:tcPr>
          <w:p>
            <w:r>
              <w:t>5.6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48.1</w:t>
            </w:r>
          </w:p>
        </w:tc>
        <w:tc>
          <w:tcPr>
            <w:tcW w:type="dxa" w:w="2160"/>
          </w:tcPr>
          <w:p>
            <w:r>
              <w:t>46.3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  <w:tc>
          <w:tcPr>
            <w:tcW w:type="dxa" w:w="2160"/>
          </w:tcPr>
          <w:p>
            <w:r>
              <w:t>45.0%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27.9</w:t>
            </w:r>
          </w:p>
        </w:tc>
        <w:tc>
          <w:tcPr>
            <w:tcW w:type="dxa" w:w="2160"/>
          </w:tcPr>
          <w:p>
            <w:r>
              <w:t>31.9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42.3%</w:t>
            </w:r>
          </w:p>
        </w:tc>
        <w:tc>
          <w:tcPr>
            <w:tcW w:type="dxa" w:w="2160"/>
          </w:tcPr>
          <w:p>
            <w:r>
              <w:t>45.9%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82.6%</w:t>
            </w:r>
          </w:p>
        </w:tc>
        <w:tc>
          <w:tcPr>
            <w:tcW w:type="dxa" w:w="2160"/>
          </w:tcPr>
          <w:p>
            <w:r>
              <w:t>76.1%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