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inversely associated with Low HDL cholesterol (odds ratio per 1-SD 0.99 (95% CI 0.95 to 1.03), false discovery rate q 0.709)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0.95 to 1.03)</w:t>
            </w:r>
          </w:p>
        </w:tc>
        <w:tc>
          <w:tcPr>
            <w:tcW w:type="dxa" w:w="1234"/>
          </w:tcPr>
          <w:p>
            <w:r>
              <w:t>0.665</w:t>
            </w:r>
          </w:p>
        </w:tc>
        <w:tc>
          <w:tcPr>
            <w:tcW w:type="dxa" w:w="1234"/>
          </w:tcPr>
          <w:p>
            <w:r>
              <w:t>0.709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122.5</w:t>
            </w:r>
          </w:p>
        </w:tc>
        <w:tc>
          <w:tcPr>
            <w:tcW w:type="dxa" w:w="2160"/>
          </w:tcPr>
          <w:p>
            <w:r>
              <w:t>122.4</w:t>
            </w:r>
          </w:p>
        </w:tc>
        <w:tc>
          <w:tcPr>
            <w:tcW w:type="dxa" w:w="2160"/>
          </w:tcPr>
          <w:p>
            <w:r>
              <w:t>122.6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