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lean mass, kg and Low HDL cholesterol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Total lean mass, kg was positively associated with Low HDL cholesterol (odds ratio per 1-SD 2.00 (95% CI 1.80 to 2.22), false discovery rate q &lt;0.001) among 25076 adults aged 20 years or older (a weighted Low HDL cholesterol prevalence of 29.2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2.00 (95% CI 1.80 to 2.22)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HDL cholesterol</w:t>
            </w:r>
          </w:p>
        </w:tc>
        <w:tc>
          <w:tcPr>
            <w:tcW w:type="dxa" w:w="2160"/>
          </w:tcPr>
          <w:p>
            <w:r>
              <w:t>Low HDL cholesterol</w:t>
            </w:r>
          </w:p>
        </w:tc>
      </w:tr>
      <w:tr>
        <w:tc>
          <w:tcPr>
            <w:tcW w:type="dxa" w:w="2160"/>
          </w:tcPr>
          <w:p>
            <w:r>
              <w:t>Total lean mass, kg (exposure)</w:t>
            </w:r>
          </w:p>
        </w:tc>
        <w:tc>
          <w:tcPr>
            <w:tcW w:type="dxa" w:w="2160"/>
          </w:tcPr>
          <w:p>
            <w:r>
              <w:t>54.8</w:t>
            </w:r>
          </w:p>
        </w:tc>
        <w:tc>
          <w:tcPr>
            <w:tcW w:type="dxa" w:w="2160"/>
          </w:tcPr>
          <w:p>
            <w:r>
              <w:t>53.8</w:t>
            </w:r>
          </w:p>
        </w:tc>
        <w:tc>
          <w:tcPr>
            <w:tcW w:type="dxa" w:w="2160"/>
          </w:tcPr>
          <w:p>
            <w:r>
              <w:t>57.3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46.3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45.0%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  <w:tc>
          <w:tcPr>
            <w:tcW w:type="dxa" w:w="2160"/>
          </w:tcPr>
          <w:p>
            <w:r>
              <w:t>31.9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82.6%</w:t>
            </w:r>
          </w:p>
        </w:tc>
        <w:tc>
          <w:tcPr>
            <w:tcW w:type="dxa" w:w="2160"/>
          </w:tcPr>
          <w:p>
            <w:r>
              <w:t>76.1%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