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Low HDL cholesterol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positively associated with Low HDL cholesterol (odds ratio 1.19 (95% CI 1.08 to 1.30), false discovery rate q &lt;0.001) among 25076 adults aged 20 years or older (a weighted Low HDL cholesterol prevalence of 29.2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1.19 (95% CI 1.08 to 1.30)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Vitamin D deficiency (&lt;20 ng/mL) (exposure)</w:t>
            </w:r>
          </w:p>
        </w:tc>
        <w:tc>
          <w:tcPr>
            <w:tcW w:type="dxa" w:w="2160"/>
          </w:tcPr>
          <w:p>
            <w:r>
              <w:t>24.4%</w:t>
            </w:r>
          </w:p>
        </w:tc>
        <w:tc>
          <w:tcPr>
            <w:tcW w:type="dxa" w:w="2160"/>
          </w:tcPr>
          <w:p>
            <w:r>
              <w:t>22.0%</w:t>
            </w:r>
          </w:p>
        </w:tc>
        <w:tc>
          <w:tcPr>
            <w:tcW w:type="dxa" w:w="2160"/>
          </w:tcPr>
          <w:p>
            <w:r>
              <w:t>30.1%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46.3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82.6%</w:t>
            </w:r>
          </w:p>
        </w:tc>
        <w:tc>
          <w:tcPr>
            <w:tcW w:type="dxa" w:w="2160"/>
          </w:tcPr>
          <w:p>
            <w:r>
              <w:t>76.1%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