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Low muscle mass (low ASMI, AWGS cut) (odds ratio 0.75 (95% CI 0.15 to 3.76), false discovery rate q 0.763)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0.15 to 3.76)</w:t>
            </w:r>
          </w:p>
        </w:tc>
        <w:tc>
          <w:tcPr>
            <w:tcW w:type="dxa" w:w="1234"/>
          </w:tcPr>
          <w:p>
            <w:r>
              <w:t>0.726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