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Low muscle mass (low ASMI, AWGS cut) (odds ratio per 1-SD 1.00 (95% CI 0.84 to 1.20), false discovery rate q 0.974) among 8809 adults aged 20 years or older (a weighted Low muscle mass (low ASMI, AWGS cut) prevalence of 3.2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0.84 to 1.20)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