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Low muscle mass (low ASMI, AWGS cut) (odds ratio per 1-SD 1.00 (95% CI 0.81 to 1.22), false discovery rate q 0.968)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0.81 to 1.22)</w:t>
            </w:r>
          </w:p>
        </w:tc>
        <w:tc>
          <w:tcPr>
            <w:tcW w:type="dxa" w:w="1234"/>
          </w:tcPr>
          <w:p>
            <w:r>
              <w:t>0.961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20.8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