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inversely associated with Low muscle mass (low ASMI, AWGS cut) (odds ratio per 1-SD 0.94 (95% CI 0.76 to 1.18), false discovery rate q 0.664)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0.76 to 1.18)</w:t>
            </w:r>
          </w:p>
        </w:tc>
        <w:tc>
          <w:tcPr>
            <w:tcW w:type="dxa" w:w="1234"/>
          </w:tcPr>
          <w:p>
            <w:r>
              <w:t>0.616</w:t>
            </w:r>
          </w:p>
        </w:tc>
        <w:tc>
          <w:tcPr>
            <w:tcW w:type="dxa" w:w="1234"/>
          </w:tcPr>
          <w:p>
            <w:r>
              <w:t>0.664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25.4</w:t>
            </w:r>
          </w:p>
        </w:tc>
        <w:tc>
          <w:tcPr>
            <w:tcW w:type="dxa" w:w="2160"/>
          </w:tcPr>
          <w:p>
            <w:r>
              <w:t>25.4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