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Low muscle mass (low ASMI, AWGS cut) (odds ratio 1.24 (95% CI 0.63 to 2.47), false discovery rate q 0.590)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1.24 (95% CI 0.63 to 2.47)</w:t>
            </w:r>
          </w:p>
        </w:tc>
        <w:tc>
          <w:tcPr>
            <w:tcW w:type="dxa" w:w="1234"/>
          </w:tcPr>
          <w:p>
            <w:r>
              <w:t>0.534</w:t>
            </w:r>
          </w:p>
        </w:tc>
        <w:tc>
          <w:tcPr>
            <w:tcW w:type="dxa" w:w="1234"/>
          </w:tcPr>
          <w:p>
            <w:r>
              <w:t>0.590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7.5%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