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Low muscle mass (low ASMI, AWGS cut) (odds ratio per 1-SD 4.57 (95% CI 2.07 to 10.06), false discovery rate q 0.007)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4.57 (95% CI 2.07 to 10.06)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255.5</w:t>
            </w:r>
          </w:p>
        </w:tc>
        <w:tc>
          <w:tcPr>
            <w:tcW w:type="dxa" w:w="2160"/>
          </w:tcPr>
          <w:p>
            <w:r>
              <w:t>256.5</w:t>
            </w:r>
          </w:p>
        </w:tc>
        <w:tc>
          <w:tcPr>
            <w:tcW w:type="dxa" w:w="2160"/>
          </w:tcPr>
          <w:p>
            <w:r>
              <w:t>227.1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