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Low muscle mass (low ASMI, AWGS cut) (odds ratio 1.03 (95% CI 0.62 to 1.70), false discovery rate q 0.923) among 8809 adults aged 20 years or older (a weighted Low muscle mass (low ASMI, AWGS cut) prevalence of 3.2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0.62 to 1.70)</w:t>
            </w:r>
          </w:p>
        </w:tc>
        <w:tc>
          <w:tcPr>
            <w:tcW w:type="dxa" w:w="1234"/>
          </w:tcPr>
          <w:p>
            <w:r>
              <w:t>0.909</w:t>
            </w:r>
          </w:p>
        </w:tc>
        <w:tc>
          <w:tcPr>
            <w:tcW w:type="dxa" w:w="1234"/>
          </w:tcPr>
          <w:p>
            <w:r>
              <w:t>0.923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23.1%</w:t>
            </w:r>
          </w:p>
        </w:tc>
        <w:tc>
          <w:tcPr>
            <w:tcW w:type="dxa" w:w="2160"/>
          </w:tcPr>
          <w:p>
            <w:r>
              <w:t>22.8%</w:t>
            </w:r>
          </w:p>
        </w:tc>
        <w:tc>
          <w:tcPr>
            <w:tcW w:type="dxa" w:w="2160"/>
          </w:tcPr>
          <w:p>
            <w:r>
              <w:t>32.4%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