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positively associated with Low muscle mass (low ASMI, AWGS cut) (odds ratio 2.35 (95% CI 1.54 to 3.58), false discovery rate q &lt;0.001) among 8809 adults aged 20 years or older (a weighted Low muscle mass (low ASMI, AWGS cut) prevalence of 3.2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2.35 (95% CI 1.54 to 3.58)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Dyslipidemia (KSoLA composite) (exposure)</w:t>
            </w:r>
          </w:p>
        </w:tc>
        <w:tc>
          <w:tcPr>
            <w:tcW w:type="dxa" w:w="2160"/>
          </w:tcPr>
          <w:p>
            <w:r>
              <w:t>45.3%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  <w:tc>
          <w:tcPr>
            <w:tcW w:type="dxa" w:w="2160"/>
          </w:tcPr>
          <w:p>
            <w:r>
              <w:t>35.5%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