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Low muscle mass (low ASMI, AWGS cut) (odds ratio per 1-SD 1.65 (95% CI 1.07 to 2.55), false discovery rate q 0.041)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1.07 to 2.55)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102.7</w:t>
            </w:r>
          </w:p>
        </w:tc>
        <w:tc>
          <w:tcPr>
            <w:tcW w:type="dxa" w:w="2160"/>
          </w:tcPr>
          <w:p>
            <w:r>
              <w:t>102.5</w:t>
            </w:r>
          </w:p>
        </w:tc>
        <w:tc>
          <w:tcPr>
            <w:tcW w:type="dxa" w:w="2160"/>
          </w:tcPr>
          <w:p>
            <w:r>
              <w:t>108.9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