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Low muscle mass (low ASMI, AWGS cut) (odds ratio 1.28 (95% CI 0.46 to 3.54), false discovery rate q 0.681)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0.46 to 3.54)</w:t>
            </w:r>
          </w:p>
        </w:tc>
        <w:tc>
          <w:tcPr>
            <w:tcW w:type="dxa" w:w="1234"/>
          </w:tcPr>
          <w:p>
            <w:r>
              <w:t>0.634</w:t>
            </w:r>
          </w:p>
        </w:tc>
        <w:tc>
          <w:tcPr>
            <w:tcW w:type="dxa" w:w="1234"/>
          </w:tcPr>
          <w:p>
            <w:r>
              <w:t>0.681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