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Low muscle mass (low ASMI, AWGS cut) (odds ratio 1.39 (95% CI 0.97 to 1.99), false discovery rate q 0.106) among 8809 adults aged 20 years or older (a weighted Low muscle mass (low ASMI, AWGS cut) prevalence of 3.2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0.97 to 1.99)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