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Low muscle mass (low ASMI, AWGS cut) (odds ratio per 1-SD 1.61 (95% CI 1.29 to 2.02), false discovery rate q &lt;0.001)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1.61 (95% CI 1.29 to 2.02)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104.0</w:t>
            </w:r>
          </w:p>
        </w:tc>
        <w:tc>
          <w:tcPr>
            <w:tcW w:type="dxa" w:w="2160"/>
          </w:tcPr>
          <w:p>
            <w:r>
              <w:t>103.9</w:t>
            </w:r>
          </w:p>
        </w:tc>
        <w:tc>
          <w:tcPr>
            <w:tcW w:type="dxa" w:w="2160"/>
          </w:tcPr>
          <w:p>
            <w:r>
              <w:t>106.9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