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Low muscle mass (low ASMI, AWGS cut) (odds ratio per 1-SD 1.10 (95% CI 0.99 to 1.24), false discovery rate q 0.118)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0.99 to 1.24)</w:t>
            </w:r>
          </w:p>
        </w:tc>
        <w:tc>
          <w:tcPr>
            <w:tcW w:type="dxa" w:w="1234"/>
          </w:tcPr>
          <w:p>
            <w:r>
              <w:t>0.090</w:t>
            </w:r>
          </w:p>
        </w:tc>
        <w:tc>
          <w:tcPr>
            <w:tcW w:type="dxa" w:w="1234"/>
          </w:tcPr>
          <w:p>
            <w:r>
              <w:t>0.118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27.1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