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inversely associated with Low muscle mass (low ASMI, AWGS cut) (odds ratio 0.72 (95% CI 0.29 to 1.79), false discovery rate q 0.541)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0.72 (95% CI 0.29 to 1.79)</w:t>
            </w:r>
          </w:p>
        </w:tc>
        <w:tc>
          <w:tcPr>
            <w:tcW w:type="dxa" w:w="1234"/>
          </w:tcPr>
          <w:p>
            <w:r>
              <w:t>0.484</w:t>
            </w:r>
          </w:p>
        </w:tc>
        <w:tc>
          <w:tcPr>
            <w:tcW w:type="dxa" w:w="1234"/>
          </w:tcPr>
          <w:p>
            <w:r>
              <w:t>0.541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9.5%</w:t>
            </w:r>
          </w:p>
        </w:tc>
        <w:tc>
          <w:tcPr>
            <w:tcW w:type="dxa" w:w="2160"/>
          </w:tcPr>
          <w:p>
            <w:r>
              <w:t>9.7%</w:t>
            </w:r>
          </w:p>
        </w:tc>
        <w:tc>
          <w:tcPr>
            <w:tcW w:type="dxa" w:w="2160"/>
          </w:tcPr>
          <w:p>
            <w:r>
              <w:t>4.3%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