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Low muscle mass (low ASMI, AWGS cut)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non-HDL cholesterol (&gt;=190) was inversely associated with Low muscle mass (low ASMI, AWGS cut) (odds ratio 0.92 (95% CI 0.52 to 1.62), false discovery rate q 0.807) among 8809 adults aged 20 years or older (a weighted Low muscle mass (low ASMI, AWGS cut) prevalence of 3.2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0.92 (95% CI 0.52 to 1.62)</w:t>
            </w:r>
          </w:p>
        </w:tc>
        <w:tc>
          <w:tcPr>
            <w:tcW w:type="dxa" w:w="1234"/>
          </w:tcPr>
          <w:p>
            <w:r>
              <w:t>0.778</w:t>
            </w:r>
          </w:p>
        </w:tc>
        <w:tc>
          <w:tcPr>
            <w:tcW w:type="dxa" w:w="1234"/>
          </w:tcPr>
          <w:p>
            <w:r>
              <w:t>0.807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High non-HDL cholesterol (&gt;=190) (exposure)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11.9%</w:t>
            </w:r>
          </w:p>
        </w:tc>
        <w:tc>
          <w:tcPr>
            <w:tcW w:type="dxa" w:w="2160"/>
          </w:tcPr>
          <w:p>
            <w:r>
              <w:t>4.6%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