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Low muscle mass (low ASMI, AWGS cut)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Hypertension was positively associated with Low muscle mass (low ASMI, AWGS cut) (odds ratio 2.10 (95% CI 1.10 to 3.99), false discovery rate q 0.038) among 8809 adults aged 20 years or older (a weighted Low muscle mass (low ASMI, AWGS cut) prevalence of 3.2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2.10 (95% CI 1.10 to 3.99)</w:t>
            </w:r>
          </w:p>
        </w:tc>
        <w:tc>
          <w:tcPr>
            <w:tcW w:type="dxa" w:w="1234"/>
          </w:tcPr>
          <w:p>
            <w:r>
              <w:t>0.027</w:t>
            </w:r>
          </w:p>
        </w:tc>
        <w:tc>
          <w:tcPr>
            <w:tcW w:type="dxa" w:w="1234"/>
          </w:tcPr>
          <w:p>
            <w:r>
              <w:t>0.038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Hypertension (exposure)</w:t>
            </w:r>
          </w:p>
        </w:tc>
        <w:tc>
          <w:tcPr>
            <w:tcW w:type="dxa" w:w="2160"/>
          </w:tcPr>
          <w:p>
            <w:r>
              <w:t>25.1%</w:t>
            </w:r>
          </w:p>
        </w:tc>
        <w:tc>
          <w:tcPr>
            <w:tcW w:type="dxa" w:w="2160"/>
          </w:tcPr>
          <w:p>
            <w:r>
              <w:t>25.1%</w:t>
            </w:r>
          </w:p>
        </w:tc>
        <w:tc>
          <w:tcPr>
            <w:tcW w:type="dxa" w:w="2160"/>
          </w:tcPr>
          <w:p>
            <w:r>
              <w:t>22.7%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28.7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20.1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