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Low muscle mass (low ASMI, AWGS cut)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Low muscle mass (low ASMI, AWGS cut) (odds ratio 4.85 (95% CI 2.15 to 10.95), false discovery rate q &lt;0.001) among 8809 adults aged 20 years or older (a weighted Low muscle mass (low ASMI, AWGS cut) prevalence of 3.2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Appendicular muscle measures are the outcome family and are not used for adjustment.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4.85 (95% CI 2.15 to 10.95)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muscle mass (low ASMI, AWGS cut)</w:t>
            </w:r>
          </w:p>
        </w:tc>
        <w:tc>
          <w:tcPr>
            <w:tcW w:type="dxa" w:w="2160"/>
          </w:tcPr>
          <w:p>
            <w:r>
              <w:t>Low muscle mass (low ASMI, AWGS cut)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  <w:tc>
          <w:tcPr>
            <w:tcW w:type="dxa" w:w="2160"/>
          </w:tcPr>
          <w:p>
            <w:r>
              <w:t>24.3%</w:t>
            </w:r>
          </w:p>
        </w:tc>
        <w:tc>
          <w:tcPr>
            <w:tcW w:type="dxa" w:w="2160"/>
          </w:tcPr>
          <w:p>
            <w:r>
              <w:t>18.4%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28.7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20.1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81.6%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