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Low muscle mass (low ASMI, AWGS cut) (odds ratio per 1-SD 0.90 (95% CI 0.63 to 1.29), false discovery rate q 0.614)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0.63 to 1.29)</w:t>
            </w:r>
          </w:p>
        </w:tc>
        <w:tc>
          <w:tcPr>
            <w:tcW w:type="dxa" w:w="1234"/>
          </w:tcPr>
          <w:p>
            <w:r>
              <w:t>0.560</w:t>
            </w:r>
          </w:p>
        </w:tc>
        <w:tc>
          <w:tcPr>
            <w:tcW w:type="dxa" w:w="1234"/>
          </w:tcPr>
          <w:p>
            <w:r>
              <w:t>0.614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114.4</w:t>
            </w:r>
          </w:p>
        </w:tc>
        <w:tc>
          <w:tcPr>
            <w:tcW w:type="dxa" w:w="2160"/>
          </w:tcPr>
          <w:p>
            <w:r>
              <w:t>114.8</w:t>
            </w:r>
          </w:p>
        </w:tc>
        <w:tc>
          <w:tcPr>
            <w:tcW w:type="dxa" w:w="2160"/>
          </w:tcPr>
          <w:p>
            <w:r>
              <w:t>105.9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