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Low muscle mass (low ASMI, AWGS cut) (odds ratio 0.74 (95% CI 0.54 to 1.01), false discovery rate q 0.081) among 8809 adults aged 20 years or older (a weighted Low muscle mass (low ASMI, AWGS cut) prevalence of 3.2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0.54 to 1.01)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