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Low muscle mass (low ASMI, AWGS cut) (odds ratio per 1-SD 1.16 (95% CI 0.92 to 1.47), false discovery rate q 0.266)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0.92 to 1.47)</w:t>
            </w:r>
          </w:p>
        </w:tc>
        <w:tc>
          <w:tcPr>
            <w:tcW w:type="dxa" w:w="1234"/>
          </w:tcPr>
          <w:p>
            <w:r>
              <w:t>0.219</w:t>
            </w:r>
          </w:p>
        </w:tc>
        <w:tc>
          <w:tcPr>
            <w:tcW w:type="dxa" w:w="1234"/>
          </w:tcPr>
          <w:p>
            <w:r>
              <w:t>0.266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140.6</w:t>
            </w:r>
          </w:p>
        </w:tc>
        <w:tc>
          <w:tcPr>
            <w:tcW w:type="dxa" w:w="2160"/>
          </w:tcPr>
          <w:p>
            <w:r>
              <w:t>141.1</w:t>
            </w:r>
          </w:p>
        </w:tc>
        <w:tc>
          <w:tcPr>
            <w:tcW w:type="dxa" w:w="2160"/>
          </w:tcPr>
          <w:p>
            <w:r>
              <w:t>126.6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