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positively associated with Low muscle mass (low ASMI, AWGS cut) (odds ratio 2.80 (95% CI 1.16 to 6.71), false discovery rate q 0.039)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2.80 (95% CI 1.16 to 6.71)</w:t>
            </w:r>
          </w:p>
        </w:tc>
        <w:tc>
          <w:tcPr>
            <w:tcW w:type="dxa" w:w="1234"/>
          </w:tcPr>
          <w:p>
            <w:r>
              <w:t>0.027</w:t>
            </w:r>
          </w:p>
        </w:tc>
        <w:tc>
          <w:tcPr>
            <w:tcW w:type="dxa" w:w="1234"/>
          </w:tcPr>
          <w:p>
            <w:r>
              <w:t>0.039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5.1%</w:t>
            </w:r>
          </w:p>
        </w:tc>
        <w:tc>
          <w:tcPr>
            <w:tcW w:type="dxa" w:w="2160"/>
          </w:tcPr>
          <w:p>
            <w:r>
              <w:t>4.2%</w:t>
            </w:r>
          </w:p>
        </w:tc>
        <w:tc>
          <w:tcPr>
            <w:tcW w:type="dxa" w:w="2160"/>
          </w:tcPr>
          <w:p>
            <w:r>
              <w:t>23.3%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