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Low muscle mass (low ASMI, AWGS cut) (odds ratio per 1-SD 1.04 (95% CI 0.85 to 1.27), false discovery rate q 0.764)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0.85 to 1.27)</w:t>
            </w:r>
          </w:p>
        </w:tc>
        <w:tc>
          <w:tcPr>
            <w:tcW w:type="dxa" w:w="1234"/>
          </w:tcPr>
          <w:p>
            <w:r>
              <w:t>0.728</w:t>
            </w:r>
          </w:p>
        </w:tc>
        <w:tc>
          <w:tcPr>
            <w:tcW w:type="dxa" w:w="1234"/>
          </w:tcPr>
          <w:p>
            <w:r>
              <w:t>0.764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252.6</w:t>
            </w:r>
          </w:p>
        </w:tc>
        <w:tc>
          <w:tcPr>
            <w:tcW w:type="dxa" w:w="2160"/>
          </w:tcPr>
          <w:p>
            <w:r>
              <w:t>252.7</w:t>
            </w:r>
          </w:p>
        </w:tc>
        <w:tc>
          <w:tcPr>
            <w:tcW w:type="dxa" w:w="2160"/>
          </w:tcPr>
          <w:p>
            <w:r>
              <w:t>248.1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