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Low muscle mass (low ASMI, AWGS cut) (odds ratio 1.26 (95% CI 0.69 to 2.33), false discovery rate q 0.513)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0.69 to 2.33)</w:t>
            </w:r>
          </w:p>
        </w:tc>
        <w:tc>
          <w:tcPr>
            <w:tcW w:type="dxa" w:w="1234"/>
          </w:tcPr>
          <w:p>
            <w:r>
              <w:t>0.455</w:t>
            </w:r>
          </w:p>
        </w:tc>
        <w:tc>
          <w:tcPr>
            <w:tcW w:type="dxa" w:w="1234"/>
          </w:tcPr>
          <w:p>
            <w:r>
              <w:t>0.513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28.0%</w:t>
            </w:r>
          </w:p>
        </w:tc>
        <w:tc>
          <w:tcPr>
            <w:tcW w:type="dxa" w:w="2160"/>
          </w:tcPr>
          <w:p>
            <w:r>
              <w:t>28.2%</w:t>
            </w:r>
          </w:p>
        </w:tc>
        <w:tc>
          <w:tcPr>
            <w:tcW w:type="dxa" w:w="2160"/>
          </w:tcPr>
          <w:p>
            <w:r>
              <w:t>21.3%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