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Low muscle mass (low ASMI, AWGS cut) (odds ratio per 1-SD 0.86 (95% CI 0.70 to 1.07), false discovery rate q 0.218)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0.70 to 1.07)</w:t>
            </w:r>
          </w:p>
        </w:tc>
        <w:tc>
          <w:tcPr>
            <w:tcW w:type="dxa" w:w="1234"/>
          </w:tcPr>
          <w:p>
            <w:r>
              <w:t>0.176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  <w:tc>
          <w:tcPr>
            <w:tcW w:type="dxa" w:w="2160"/>
          </w:tcPr>
          <w:p>
            <w:r>
              <w:t>26.8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