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Low muscle mass (low ASMI, AWGS cut) (odds ratio per 1-SD 1.28 (95% CI 0.95 to 1.74), false discovery rate q 0.146)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0.95 to 1.74)</w:t>
            </w:r>
          </w:p>
        </w:tc>
        <w:tc>
          <w:tcPr>
            <w:tcW w:type="dxa" w:w="1234"/>
          </w:tcPr>
          <w:p>
            <w:r>
              <w:t>0.113</w:t>
            </w:r>
          </w:p>
        </w:tc>
        <w:tc>
          <w:tcPr>
            <w:tcW w:type="dxa" w:w="1234"/>
          </w:tcPr>
          <w:p>
            <w:r>
              <w:t>0.146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4.7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