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Low muscle mass (low ASMI, AWGS cut) (odds ratio per 1-SD 1.17 (95% CI 0.89 to 1.53), false discovery rate q 0.321)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0.89 to 1.53)</w:t>
            </w:r>
          </w:p>
        </w:tc>
        <w:tc>
          <w:tcPr>
            <w:tcW w:type="dxa" w:w="1234"/>
          </w:tcPr>
          <w:p>
            <w:r>
              <w:t>0.269</w:t>
            </w:r>
          </w:p>
        </w:tc>
        <w:tc>
          <w:tcPr>
            <w:tcW w:type="dxa" w:w="1234"/>
          </w:tcPr>
          <w:p>
            <w:r>
              <w:t>0.321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119.6</w:t>
            </w:r>
          </w:p>
        </w:tc>
        <w:tc>
          <w:tcPr>
            <w:tcW w:type="dxa" w:w="2160"/>
          </w:tcPr>
          <w:p>
            <w:r>
              <w:t>119.7</w:t>
            </w:r>
          </w:p>
        </w:tc>
        <w:tc>
          <w:tcPr>
            <w:tcW w:type="dxa" w:w="2160"/>
          </w:tcPr>
          <w:p>
            <w:r>
              <w:t>117.5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