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Low muscle mass (low ASMI, AWGS cut) (odds ratio per 1-SD 0.96 (95% CI 0.74 to 1.25), false discovery rate q 0.802)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0.74 to 1.25)</w:t>
            </w:r>
          </w:p>
        </w:tc>
        <w:tc>
          <w:tcPr>
            <w:tcW w:type="dxa" w:w="1234"/>
          </w:tcPr>
          <w:p>
            <w:r>
              <w:t>0.773</w:t>
            </w:r>
          </w:p>
        </w:tc>
        <w:tc>
          <w:tcPr>
            <w:tcW w:type="dxa" w:w="1234"/>
          </w:tcPr>
          <w:p>
            <w:r>
              <w:t>0.802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193.9</w:t>
            </w:r>
          </w:p>
        </w:tc>
        <w:tc>
          <w:tcPr>
            <w:tcW w:type="dxa" w:w="2160"/>
          </w:tcPr>
          <w:p>
            <w:r>
              <w:t>194.2</w:t>
            </w:r>
          </w:p>
        </w:tc>
        <w:tc>
          <w:tcPr>
            <w:tcW w:type="dxa" w:w="2160"/>
          </w:tcPr>
          <w:p>
            <w:r>
              <w:t>186.2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