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Low muscle mass (low ASMI, AWGS cut) (odds ratio 1.43 (95% CI 0.93 to 2.21), false discovery rate q 0.144)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0.93 to 2.21)</w:t>
            </w:r>
          </w:p>
        </w:tc>
        <w:tc>
          <w:tcPr>
            <w:tcW w:type="dxa" w:w="1234"/>
          </w:tcPr>
          <w:p>
            <w:r>
              <w:t>0.111</w:t>
            </w:r>
          </w:p>
        </w:tc>
        <w:tc>
          <w:tcPr>
            <w:tcW w:type="dxa" w:w="1234"/>
          </w:tcPr>
          <w:p>
            <w:r>
              <w:t>0.144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27.4%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29.3%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